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C6" w:rsidRPr="00506685" w:rsidRDefault="002E64E2" w:rsidP="00490AF8">
      <w:pPr>
        <w:pStyle w:val="AralkYok"/>
        <w:jc w:val="center"/>
        <w:rPr>
          <w:rFonts w:ascii="Times New Roman" w:hAnsi="Times New Roman" w:cs="Times New Roman"/>
          <w:b/>
          <w:sz w:val="24"/>
          <w:szCs w:val="24"/>
        </w:rPr>
      </w:pPr>
      <w:r w:rsidRPr="00506685">
        <w:rPr>
          <w:rFonts w:ascii="Times New Roman" w:hAnsi="Times New Roman" w:cs="Times New Roman"/>
          <w:b/>
          <w:sz w:val="24"/>
          <w:szCs w:val="24"/>
        </w:rPr>
        <w:t>ATAKÖY RUH VE SİNİR HASTALIKLARI HASTANESİ</w:t>
      </w:r>
    </w:p>
    <w:p w:rsidR="00785BD6" w:rsidRPr="00506685" w:rsidRDefault="00785BD6" w:rsidP="00490AF8">
      <w:pPr>
        <w:pStyle w:val="AralkYok"/>
        <w:jc w:val="center"/>
        <w:rPr>
          <w:rFonts w:ascii="Times New Roman" w:hAnsi="Times New Roman" w:cs="Times New Roman"/>
          <w:b/>
          <w:sz w:val="24"/>
          <w:szCs w:val="24"/>
        </w:rPr>
      </w:pPr>
      <w:r w:rsidRPr="00506685">
        <w:rPr>
          <w:rFonts w:ascii="Times New Roman" w:hAnsi="Times New Roman" w:cs="Times New Roman"/>
          <w:b/>
          <w:sz w:val="24"/>
          <w:szCs w:val="24"/>
        </w:rPr>
        <w:t>REFAKATÇI POLİTİKASI</w:t>
      </w:r>
    </w:p>
    <w:p w:rsidR="00490AF8" w:rsidRPr="00490AF8" w:rsidRDefault="00490AF8" w:rsidP="00490AF8">
      <w:pPr>
        <w:pStyle w:val="AralkYok"/>
        <w:jc w:val="center"/>
        <w:rPr>
          <w:rFonts w:ascii="Times New Roman" w:hAnsi="Times New Roman" w:cs="Times New Roman"/>
          <w:sz w:val="24"/>
          <w:szCs w:val="24"/>
        </w:rPr>
      </w:pPr>
    </w:p>
    <w:p w:rsidR="00785BD6" w:rsidRPr="00490AF8" w:rsidRDefault="00785BD6" w:rsidP="00490AF8">
      <w:pPr>
        <w:pStyle w:val="AralkYok"/>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 xml:space="preserve">Tedavi sırasında hastaya yardımcı olmak üzere; mevzuatın ve hastanemizin </w:t>
      </w:r>
      <w:r w:rsidR="00490AF8" w:rsidRPr="00490AF8">
        <w:rPr>
          <w:rFonts w:ascii="Times New Roman" w:eastAsia="Times New Roman" w:hAnsi="Times New Roman" w:cs="Times New Roman"/>
          <w:color w:val="333333"/>
          <w:sz w:val="24"/>
          <w:szCs w:val="24"/>
          <w:lang w:eastAsia="tr-TR"/>
        </w:rPr>
        <w:t>imkânlarının</w:t>
      </w:r>
      <w:r w:rsidRPr="00490AF8">
        <w:rPr>
          <w:rFonts w:ascii="Times New Roman" w:eastAsia="Times New Roman" w:hAnsi="Times New Roman" w:cs="Times New Roman"/>
          <w:color w:val="333333"/>
          <w:sz w:val="24"/>
          <w:szCs w:val="24"/>
          <w:lang w:eastAsia="tr-TR"/>
        </w:rPr>
        <w:t xml:space="preserve"> elverdiği ve hastanın sağlık durumunun gerektirdiği ölçüde, tedaviden sorumlu doktorun uygun görmesine bağlı olarak, hastanın refakatçi bulundurma hakkı vardır. Bu hakkın nasıl ve ne zaman kullanılacağı hastanemizde belirlenen usul ve esaslara uygun olarak gerçekleştirilmelidir. Hastanızın sağlığı açısından bu konuda bize yardımcı olmanızı ve hastanemizin refakatçi politikası çerçevesinde belirlenen usul ve esaslara uygun şekilde hastanıza refakat etmeniz gerektiğini önemle belirtmek isteriz.</w:t>
      </w:r>
    </w:p>
    <w:p w:rsidR="00785BD6" w:rsidRPr="00490AF8" w:rsidRDefault="00785BD6" w:rsidP="00490AF8">
      <w:pPr>
        <w:pStyle w:val="AralkYok"/>
        <w:rPr>
          <w:rFonts w:ascii="Times New Roman" w:hAnsi="Times New Roman" w:cs="Times New Roman"/>
          <w:sz w:val="24"/>
          <w:szCs w:val="24"/>
        </w:rPr>
      </w:pPr>
    </w:p>
    <w:p w:rsidR="00490AF8" w:rsidRPr="00490AF8" w:rsidRDefault="00785BD6"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Refakatçi sayısı bir kişiyle sınırlıdır.</w:t>
      </w:r>
    </w:p>
    <w:p w:rsidR="002E64E2"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000000"/>
          <w:sz w:val="24"/>
          <w:szCs w:val="24"/>
          <w:lang w:eastAsia="tr-TR"/>
        </w:rPr>
        <w:t>Hastanın yatışı yapıldıktan sonra, refakatçilere güvenlik görevlisi tarafından refakatçi kartı verilmektedir.</w:t>
      </w:r>
    </w:p>
    <w:p w:rsidR="00490AF8"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Refakatçiler, kendilerine verilen ‘refakatçi kartını’ yanında taşımalı ve görevli istediği zaman göstermelidir.</w:t>
      </w:r>
    </w:p>
    <w:p w:rsidR="002E64E2" w:rsidRPr="00490AF8" w:rsidRDefault="00785BD6"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333333"/>
          <w:sz w:val="24"/>
          <w:szCs w:val="24"/>
          <w:lang w:eastAsia="tr-TR"/>
        </w:rPr>
        <w:t>Hekim ve hemşire direktifleri dışında hastaya yönelik herhangi bir uygulama yapmamalıdır. Refakatçi, hastanın bakımına izin verilen ölçüde yardım eder.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Refakatçiler, hastaneye ait eşya ve malzemeleri düzenli ve temiz kullanmalı, zarar vermemelidir.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 değişimlerinde servis hemşiresi bilgilendirilmelidir.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Refakatçiler hasta yataklarına oturmamalı ve hastaya ait eşyaları kullanmamalıdır.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Refakatçilerin odalarda elektrikli ev aletleri (çay, kahve makinesi vb.) kullanması yasaktır.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Refakatçilerin odalarda ağır kokulu yiyecekler (soğan, sarımsak vb.) ve kabuklu kuruyemiş yemesi yasaktır.</w:t>
      </w:r>
    </w:p>
    <w:p w:rsidR="00785BD6" w:rsidRPr="00490AF8" w:rsidRDefault="00785BD6"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 xml:space="preserve">Klinik içerisinde sigara odası dışındaki alanlarda sigara içilmesi yasaktır. </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Hastalar taburcu olurken ‘refakatçi kartları’ güvenlik görevlisine teslim edilmelidir.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Hastalarımızı enfeksiyondan korumak amacıyla hasta odalarına topraklı ve canlı çiçek getirilmemelidir.</w:t>
      </w:r>
    </w:p>
    <w:p w:rsidR="002E64E2" w:rsidRPr="00490AF8" w:rsidRDefault="002E64E2" w:rsidP="00490AF8">
      <w:pPr>
        <w:pStyle w:val="AralkYok"/>
        <w:numPr>
          <w:ilvl w:val="0"/>
          <w:numId w:val="2"/>
        </w:numPr>
        <w:rPr>
          <w:rFonts w:ascii="Times New Roman" w:eastAsia="Times New Roman" w:hAnsi="Times New Roman" w:cs="Times New Roman"/>
          <w:color w:val="000000"/>
          <w:sz w:val="24"/>
          <w:szCs w:val="24"/>
          <w:lang w:eastAsia="tr-TR"/>
        </w:rPr>
      </w:pPr>
      <w:r w:rsidRPr="00490AF8">
        <w:rPr>
          <w:rFonts w:ascii="Times New Roman" w:eastAsia="Times New Roman" w:hAnsi="Times New Roman" w:cs="Times New Roman"/>
          <w:color w:val="000000"/>
          <w:sz w:val="24"/>
          <w:szCs w:val="24"/>
          <w:lang w:eastAsia="tr-TR"/>
        </w:rPr>
        <w:t>Değerli eşyalarınızın sorumluluğu kendinize aittir. Kaybolması veya zarar görmesi durumunda çalışanlar ve kurumumuz sorumlu değildir.</w:t>
      </w:r>
    </w:p>
    <w:p w:rsidR="002E64E2"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İlgili hekim ya da hemşire istemi dışında, hastayı hastane dışına çıkarmamalı veya yatağını değiştirmemelidir.</w:t>
      </w:r>
    </w:p>
    <w:p w:rsidR="002E64E2"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Sizlere huzurlu bir ortam sağlanması için, refakatçilerin; hasta odası ve servis koridorlarında yüksek sesle konuşmaması, gürültü yapmaması,</w:t>
      </w:r>
      <w:r w:rsidR="00785BD6" w:rsidRPr="00490AF8">
        <w:rPr>
          <w:rFonts w:ascii="Times New Roman" w:eastAsia="Times New Roman" w:hAnsi="Times New Roman" w:cs="Times New Roman"/>
          <w:color w:val="333333"/>
          <w:sz w:val="24"/>
          <w:szCs w:val="24"/>
          <w:lang w:eastAsia="tr-TR"/>
        </w:rPr>
        <w:t xml:space="preserve"> </w:t>
      </w:r>
      <w:r w:rsidRPr="00490AF8">
        <w:rPr>
          <w:rFonts w:ascii="Times New Roman" w:eastAsia="Times New Roman" w:hAnsi="Times New Roman" w:cs="Times New Roman"/>
          <w:color w:val="333333"/>
          <w:sz w:val="24"/>
          <w:szCs w:val="24"/>
          <w:lang w:eastAsia="tr-TR"/>
        </w:rPr>
        <w:t>; doktor vizite saatlerinde ve saat 22.00’den sonra telefonlarını kapatmaları veya sesini kısık tona ayarlamaları önemlidir.</w:t>
      </w:r>
    </w:p>
    <w:p w:rsidR="002E64E2"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 xml:space="preserve">Refakatçilerin hastane dışından yiyecek ve içecek </w:t>
      </w:r>
      <w:r w:rsidR="00785BD6" w:rsidRPr="00490AF8">
        <w:rPr>
          <w:rFonts w:ascii="Times New Roman" w:eastAsia="Times New Roman" w:hAnsi="Times New Roman" w:cs="Times New Roman"/>
          <w:color w:val="333333"/>
          <w:sz w:val="24"/>
          <w:szCs w:val="24"/>
          <w:lang w:eastAsia="tr-TR"/>
        </w:rPr>
        <w:t>getirmemesi, servis hemşiresi kontrolü</w:t>
      </w:r>
      <w:r w:rsidRPr="00490AF8">
        <w:rPr>
          <w:rFonts w:ascii="Times New Roman" w:eastAsia="Times New Roman" w:hAnsi="Times New Roman" w:cs="Times New Roman"/>
          <w:color w:val="333333"/>
          <w:sz w:val="24"/>
          <w:szCs w:val="24"/>
          <w:lang w:eastAsia="tr-TR"/>
        </w:rPr>
        <w:t xml:space="preserve"> olmayan hiçbir yiyeceğin hastaya verilmemesi gerekmektedir.</w:t>
      </w:r>
    </w:p>
    <w:p w:rsidR="00785BD6"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Refakatçi genel hastane kurallarına uymakla yükümlüdür.</w:t>
      </w:r>
      <w:r w:rsidR="00785BD6" w:rsidRPr="00490AF8">
        <w:rPr>
          <w:rFonts w:ascii="Times New Roman" w:eastAsia="Times New Roman" w:hAnsi="Times New Roman" w:cs="Times New Roman"/>
          <w:color w:val="333333"/>
          <w:sz w:val="24"/>
          <w:szCs w:val="24"/>
          <w:lang w:eastAsia="tr-TR"/>
        </w:rPr>
        <w:t xml:space="preserve"> Hastanın kendine </w:t>
      </w:r>
      <w:r w:rsidR="00490AF8" w:rsidRPr="00490AF8">
        <w:rPr>
          <w:rFonts w:ascii="Times New Roman" w:eastAsia="Times New Roman" w:hAnsi="Times New Roman" w:cs="Times New Roman"/>
          <w:color w:val="333333"/>
          <w:sz w:val="24"/>
          <w:szCs w:val="24"/>
          <w:lang w:eastAsia="tr-TR"/>
        </w:rPr>
        <w:t>ya da</w:t>
      </w:r>
      <w:r w:rsidR="00785BD6" w:rsidRPr="00490AF8">
        <w:rPr>
          <w:rFonts w:ascii="Times New Roman" w:eastAsia="Times New Roman" w:hAnsi="Times New Roman" w:cs="Times New Roman"/>
          <w:color w:val="333333"/>
          <w:sz w:val="24"/>
          <w:szCs w:val="24"/>
          <w:lang w:eastAsia="tr-TR"/>
        </w:rPr>
        <w:t xml:space="preserve"> başkasına zarar verme riskinden dolayı </w:t>
      </w:r>
      <w:r w:rsidR="00490AF8" w:rsidRPr="00490AF8">
        <w:rPr>
          <w:rFonts w:ascii="Times New Roman" w:eastAsia="Times New Roman" w:hAnsi="Times New Roman" w:cs="Times New Roman"/>
          <w:color w:val="333333"/>
          <w:sz w:val="24"/>
          <w:szCs w:val="24"/>
          <w:lang w:eastAsia="tr-TR"/>
        </w:rPr>
        <w:t>refakatçinin</w:t>
      </w:r>
      <w:r w:rsidR="00785BD6" w:rsidRPr="00490AF8">
        <w:rPr>
          <w:rFonts w:ascii="Times New Roman" w:eastAsia="Times New Roman" w:hAnsi="Times New Roman" w:cs="Times New Roman"/>
          <w:color w:val="333333"/>
          <w:sz w:val="24"/>
          <w:szCs w:val="24"/>
          <w:lang w:eastAsia="tr-TR"/>
        </w:rPr>
        <w:t xml:space="preserve"> yanında getirmiş olduğu yiyecek, kıyafet gibi tüm eşyalar kontrol edildikten sonra kliniğe alınacaktır.</w:t>
      </w:r>
      <w:r w:rsidRPr="00490AF8">
        <w:rPr>
          <w:rFonts w:ascii="Times New Roman" w:eastAsia="Times New Roman" w:hAnsi="Times New Roman" w:cs="Times New Roman"/>
          <w:color w:val="333333"/>
          <w:sz w:val="24"/>
          <w:szCs w:val="24"/>
          <w:lang w:eastAsia="tr-TR"/>
        </w:rPr>
        <w:t xml:space="preserve"> </w:t>
      </w:r>
    </w:p>
    <w:p w:rsidR="002E64E2" w:rsidRPr="00490AF8" w:rsidRDefault="002E64E2" w:rsidP="00490AF8">
      <w:pPr>
        <w:pStyle w:val="AralkYok"/>
        <w:numPr>
          <w:ilvl w:val="0"/>
          <w:numId w:val="2"/>
        </w:numPr>
        <w:rPr>
          <w:rFonts w:ascii="Times New Roman" w:eastAsia="Times New Roman" w:hAnsi="Times New Roman" w:cs="Times New Roman"/>
          <w:color w:val="333333"/>
          <w:sz w:val="24"/>
          <w:szCs w:val="24"/>
          <w:lang w:eastAsia="tr-TR"/>
        </w:rPr>
      </w:pPr>
      <w:r w:rsidRPr="00490AF8">
        <w:rPr>
          <w:rFonts w:ascii="Times New Roman" w:eastAsia="Times New Roman" w:hAnsi="Times New Roman" w:cs="Times New Roman"/>
          <w:color w:val="333333"/>
          <w:sz w:val="24"/>
          <w:szCs w:val="24"/>
          <w:lang w:eastAsia="tr-TR"/>
        </w:rPr>
        <w:t>Tüm bunların dışında refakatçi olarak, hastanın sağlığı açısından herhangi bir sorun olduğu zaman öncelikle servis hemşirelerine bilgi vermelidir. Servis hemşirelerinin bilgisi dışından herhangi bir müdahalede bulunmamalıdır.</w:t>
      </w:r>
    </w:p>
    <w:p w:rsidR="002E64E2" w:rsidRPr="00490AF8" w:rsidRDefault="002E64E2" w:rsidP="00490AF8">
      <w:pPr>
        <w:jc w:val="center"/>
        <w:rPr>
          <w:rFonts w:ascii="Times New Roman" w:hAnsi="Times New Roman" w:cs="Times New Roman"/>
          <w:sz w:val="24"/>
          <w:szCs w:val="24"/>
        </w:rPr>
      </w:pPr>
    </w:p>
    <w:sectPr w:rsidR="002E64E2" w:rsidRPr="00490AF8" w:rsidSect="00506685">
      <w:headerReference w:type="default" r:id="rId7"/>
      <w:pgSz w:w="11906" w:h="16838"/>
      <w:pgMar w:top="1417" w:right="1417" w:bottom="1417" w:left="1417"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CB" w:rsidRDefault="009B1DCB" w:rsidP="00490AF8">
      <w:pPr>
        <w:spacing w:after="0" w:line="240" w:lineRule="auto"/>
      </w:pPr>
      <w:r>
        <w:separator/>
      </w:r>
    </w:p>
  </w:endnote>
  <w:endnote w:type="continuationSeparator" w:id="1">
    <w:p w:rsidR="009B1DCB" w:rsidRDefault="009B1DCB" w:rsidP="0049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CB" w:rsidRDefault="009B1DCB" w:rsidP="00490AF8">
      <w:pPr>
        <w:spacing w:after="0" w:line="240" w:lineRule="auto"/>
      </w:pPr>
      <w:r>
        <w:separator/>
      </w:r>
    </w:p>
  </w:footnote>
  <w:footnote w:type="continuationSeparator" w:id="1">
    <w:p w:rsidR="009B1DCB" w:rsidRDefault="009B1DCB" w:rsidP="0049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923" w:type="dxa"/>
      <w:tblLayout w:type="fixed"/>
      <w:tblCellMar>
        <w:left w:w="70" w:type="dxa"/>
        <w:right w:w="70" w:type="dxa"/>
      </w:tblCellMar>
      <w:tblLook w:val="0000"/>
    </w:tblPr>
    <w:tblGrid>
      <w:gridCol w:w="1560"/>
      <w:gridCol w:w="1134"/>
      <w:gridCol w:w="1418"/>
      <w:gridCol w:w="940"/>
      <w:gridCol w:w="1753"/>
      <w:gridCol w:w="992"/>
      <w:gridCol w:w="1418"/>
      <w:gridCol w:w="425"/>
      <w:gridCol w:w="992"/>
      <w:gridCol w:w="426"/>
    </w:tblGrid>
    <w:tr w:rsidR="00490AF8" w:rsidTr="00506685">
      <w:trPr>
        <w:cantSplit/>
        <w:trHeight w:val="1107"/>
      </w:trPr>
      <w:tc>
        <w:tcPr>
          <w:tcW w:w="1560" w:type="dxa"/>
          <w:tcBorders>
            <w:top w:val="double" w:sz="4" w:space="0" w:color="000000"/>
            <w:left w:val="double" w:sz="4" w:space="0" w:color="000000"/>
            <w:bottom w:val="double" w:sz="4" w:space="0" w:color="000000"/>
          </w:tcBorders>
          <w:shd w:val="clear" w:color="auto" w:fill="auto"/>
          <w:vAlign w:val="center"/>
        </w:tcPr>
        <w:p w:rsidR="00490AF8" w:rsidRDefault="00506685" w:rsidP="00506685">
          <w:pPr>
            <w:snapToGrid w:val="0"/>
            <w:rPr>
              <w:b/>
              <w:sz w:val="28"/>
              <w:szCs w:val="28"/>
            </w:rPr>
          </w:pPr>
          <w:r>
            <w:rPr>
              <w:b/>
              <w:sz w:val="28"/>
              <w:szCs w:val="28"/>
            </w:rPr>
            <w:t xml:space="preserve">  </w:t>
          </w:r>
          <w:r w:rsidR="00490AF8">
            <w:rPr>
              <w:b/>
              <w:noProof/>
              <w:sz w:val="28"/>
              <w:szCs w:val="28"/>
              <w:lang w:eastAsia="tr-TR"/>
            </w:rPr>
            <w:drawing>
              <wp:inline distT="0" distB="0" distL="0" distR="0">
                <wp:extent cx="895350" cy="238125"/>
                <wp:effectExtent l="19050" t="0" r="0" b="0"/>
                <wp:docPr id="1" name="Resim 1" descr="SAÄLIK BAKANLIÄ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ÄLIK BAKANLIÄI AMBLEM ile ilgili gÃ¶rsel sonucu"/>
                        <pic:cNvPicPr>
                          <a:picLocks noChangeAspect="1" noChangeArrowheads="1"/>
                        </pic:cNvPicPr>
                      </pic:nvPicPr>
                      <pic:blipFill>
                        <a:blip r:embed="rId1"/>
                        <a:srcRect/>
                        <a:stretch>
                          <a:fillRect/>
                        </a:stretch>
                      </pic:blipFill>
                      <pic:spPr bwMode="auto">
                        <a:xfrm>
                          <a:off x="0" y="0"/>
                          <a:ext cx="895350" cy="238125"/>
                        </a:xfrm>
                        <a:prstGeom prst="rect">
                          <a:avLst/>
                        </a:prstGeom>
                        <a:noFill/>
                        <a:ln w="9525">
                          <a:noFill/>
                          <a:miter lim="800000"/>
                          <a:headEnd/>
                          <a:tailEnd/>
                        </a:ln>
                      </pic:spPr>
                    </pic:pic>
                  </a:graphicData>
                </a:graphic>
              </wp:inline>
            </w:drawing>
          </w:r>
        </w:p>
      </w:tc>
      <w:tc>
        <w:tcPr>
          <w:tcW w:w="9498" w:type="dxa"/>
          <w:gridSpan w:val="9"/>
          <w:tcBorders>
            <w:top w:val="double" w:sz="4" w:space="0" w:color="000000"/>
            <w:left w:val="double" w:sz="4" w:space="0" w:color="000000"/>
            <w:bottom w:val="double" w:sz="4" w:space="0" w:color="000000"/>
            <w:right w:val="double" w:sz="4" w:space="0" w:color="000000"/>
          </w:tcBorders>
          <w:shd w:val="clear" w:color="auto" w:fill="auto"/>
          <w:vAlign w:val="center"/>
        </w:tcPr>
        <w:p w:rsidR="00506685" w:rsidRDefault="00506685" w:rsidP="00506685">
          <w:pPr>
            <w:snapToGrid w:val="0"/>
            <w:jc w:val="center"/>
            <w:rPr>
              <w:b/>
              <w:sz w:val="28"/>
              <w:szCs w:val="28"/>
            </w:rPr>
          </w:pPr>
          <w:r>
            <w:rPr>
              <w:b/>
              <w:sz w:val="28"/>
              <w:szCs w:val="28"/>
            </w:rPr>
            <w:t>ATAKÖY RUH VE SİNİR HASTALIKLARI HASTANESİ</w:t>
          </w:r>
        </w:p>
        <w:p w:rsidR="00490AF8" w:rsidRPr="00B033BF" w:rsidRDefault="00506685" w:rsidP="00506685">
          <w:pPr>
            <w:snapToGrid w:val="0"/>
            <w:jc w:val="center"/>
            <w:rPr>
              <w:b/>
              <w:sz w:val="28"/>
              <w:szCs w:val="28"/>
            </w:rPr>
          </w:pPr>
          <w:r>
            <w:rPr>
              <w:b/>
              <w:sz w:val="28"/>
              <w:szCs w:val="28"/>
            </w:rPr>
            <w:t>REFAKATÇI POLİTİKASI</w:t>
          </w:r>
        </w:p>
      </w:tc>
    </w:tr>
    <w:tr w:rsidR="00490AF8" w:rsidTr="00613288">
      <w:trPr>
        <w:cantSplit/>
        <w:trHeight w:val="249"/>
      </w:trPr>
      <w:tc>
        <w:tcPr>
          <w:tcW w:w="1560"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snapToGrid w:val="0"/>
            <w:ind w:hanging="403"/>
            <w:jc w:val="center"/>
            <w:rPr>
              <w:b/>
              <w:sz w:val="16"/>
              <w:szCs w:val="16"/>
            </w:rPr>
          </w:pPr>
          <w:r w:rsidRPr="00827D06">
            <w:rPr>
              <w:b/>
              <w:sz w:val="16"/>
              <w:szCs w:val="16"/>
            </w:rPr>
            <w:t xml:space="preserve">      </w:t>
          </w:r>
          <w:r>
            <w:rPr>
              <w:b/>
              <w:sz w:val="16"/>
              <w:szCs w:val="16"/>
            </w:rPr>
            <w:t xml:space="preserve">   </w:t>
          </w:r>
          <w:r w:rsidRPr="00827D06">
            <w:rPr>
              <w:b/>
              <w:sz w:val="16"/>
              <w:szCs w:val="16"/>
            </w:rPr>
            <w:t>DOKÜMAN KODU</w:t>
          </w:r>
        </w:p>
      </w:tc>
      <w:tc>
        <w:tcPr>
          <w:tcW w:w="1134"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snapToGrid w:val="0"/>
            <w:rPr>
              <w:b/>
              <w:sz w:val="16"/>
              <w:szCs w:val="16"/>
            </w:rPr>
          </w:pPr>
          <w:r>
            <w:rPr>
              <w:b/>
              <w:sz w:val="16"/>
              <w:szCs w:val="16"/>
            </w:rPr>
            <w:t>HD.YD.01</w:t>
          </w:r>
        </w:p>
      </w:tc>
      <w:tc>
        <w:tcPr>
          <w:tcW w:w="1418"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rPr>
              <w:b/>
              <w:bCs/>
              <w:sz w:val="16"/>
              <w:szCs w:val="16"/>
            </w:rPr>
          </w:pPr>
          <w:r w:rsidRPr="00827D06">
            <w:rPr>
              <w:b/>
              <w:bCs/>
              <w:sz w:val="16"/>
              <w:szCs w:val="16"/>
            </w:rPr>
            <w:t>YAYIN TARİHİ</w:t>
          </w:r>
        </w:p>
      </w:tc>
      <w:tc>
        <w:tcPr>
          <w:tcW w:w="940" w:type="dxa"/>
          <w:tcBorders>
            <w:top w:val="single" w:sz="4" w:space="0" w:color="000000"/>
            <w:left w:val="double" w:sz="4" w:space="0" w:color="000000"/>
            <w:bottom w:val="double" w:sz="4" w:space="0" w:color="000000"/>
          </w:tcBorders>
          <w:shd w:val="clear" w:color="auto" w:fill="auto"/>
          <w:vAlign w:val="center"/>
        </w:tcPr>
        <w:p w:rsidR="00490AF8" w:rsidRPr="00827D06" w:rsidRDefault="00506685" w:rsidP="00613288">
          <w:pPr>
            <w:snapToGrid w:val="0"/>
            <w:rPr>
              <w:b/>
              <w:bCs/>
              <w:sz w:val="16"/>
              <w:szCs w:val="16"/>
            </w:rPr>
          </w:pPr>
          <w:r>
            <w:rPr>
              <w:b/>
              <w:bCs/>
              <w:sz w:val="16"/>
              <w:szCs w:val="16"/>
            </w:rPr>
            <w:t>16.07.2020</w:t>
          </w:r>
        </w:p>
      </w:tc>
      <w:tc>
        <w:tcPr>
          <w:tcW w:w="1753"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ind w:right="-211"/>
            <w:rPr>
              <w:b/>
              <w:bCs/>
              <w:sz w:val="16"/>
              <w:szCs w:val="16"/>
            </w:rPr>
          </w:pPr>
          <w:r>
            <w:rPr>
              <w:b/>
              <w:bCs/>
              <w:sz w:val="16"/>
              <w:szCs w:val="16"/>
            </w:rPr>
            <w:t>REVİZYON TARİHİ</w:t>
          </w:r>
        </w:p>
      </w:tc>
      <w:tc>
        <w:tcPr>
          <w:tcW w:w="992"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snapToGrid w:val="0"/>
            <w:rPr>
              <w:b/>
              <w:bCs/>
              <w:sz w:val="16"/>
              <w:szCs w:val="16"/>
            </w:rPr>
          </w:pPr>
        </w:p>
      </w:tc>
      <w:tc>
        <w:tcPr>
          <w:tcW w:w="1418"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rPr>
              <w:b/>
              <w:bCs/>
              <w:sz w:val="16"/>
              <w:szCs w:val="16"/>
            </w:rPr>
          </w:pPr>
          <w:r>
            <w:rPr>
              <w:b/>
              <w:bCs/>
              <w:sz w:val="16"/>
              <w:szCs w:val="16"/>
            </w:rPr>
            <w:t xml:space="preserve">REVİZYON </w:t>
          </w:r>
          <w:r w:rsidRPr="00827D06">
            <w:rPr>
              <w:b/>
              <w:bCs/>
              <w:sz w:val="16"/>
              <w:szCs w:val="16"/>
            </w:rPr>
            <w:t>NO</w:t>
          </w:r>
        </w:p>
      </w:tc>
      <w:tc>
        <w:tcPr>
          <w:tcW w:w="425"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snapToGrid w:val="0"/>
            <w:rPr>
              <w:b/>
              <w:bCs/>
              <w:sz w:val="16"/>
              <w:szCs w:val="16"/>
            </w:rPr>
          </w:pPr>
        </w:p>
      </w:tc>
      <w:tc>
        <w:tcPr>
          <w:tcW w:w="992" w:type="dxa"/>
          <w:tcBorders>
            <w:top w:val="single" w:sz="4" w:space="0" w:color="000000"/>
            <w:left w:val="double" w:sz="4" w:space="0" w:color="000000"/>
            <w:bottom w:val="double" w:sz="4" w:space="0" w:color="000000"/>
          </w:tcBorders>
          <w:shd w:val="clear" w:color="auto" w:fill="auto"/>
          <w:vAlign w:val="center"/>
        </w:tcPr>
        <w:p w:rsidR="00490AF8" w:rsidRPr="00827D06" w:rsidRDefault="00490AF8" w:rsidP="00613288">
          <w:pPr>
            <w:rPr>
              <w:sz w:val="16"/>
              <w:szCs w:val="16"/>
            </w:rPr>
          </w:pPr>
          <w:r w:rsidRPr="00827D06">
            <w:rPr>
              <w:rStyle w:val="SayfaNumaras"/>
              <w:b/>
              <w:sz w:val="16"/>
              <w:szCs w:val="16"/>
              <w:lang w:val="tr-TR" w:eastAsia="tr-TR"/>
            </w:rPr>
            <w:t>SAYFA NO</w:t>
          </w:r>
        </w:p>
      </w:tc>
      <w:tc>
        <w:tcPr>
          <w:tcW w:w="426" w:type="dxa"/>
          <w:tcBorders>
            <w:top w:val="single" w:sz="4" w:space="0" w:color="000000"/>
            <w:left w:val="double" w:sz="4" w:space="0" w:color="000000"/>
            <w:bottom w:val="double" w:sz="4" w:space="0" w:color="000000"/>
            <w:right w:val="double" w:sz="4" w:space="0" w:color="000000"/>
          </w:tcBorders>
          <w:shd w:val="clear" w:color="auto" w:fill="auto"/>
          <w:vAlign w:val="center"/>
        </w:tcPr>
        <w:p w:rsidR="00490AF8" w:rsidRPr="00B033BF" w:rsidRDefault="00490AF8" w:rsidP="00613288">
          <w:pPr>
            <w:rPr>
              <w:sz w:val="16"/>
              <w:szCs w:val="16"/>
            </w:rPr>
          </w:pPr>
          <w:r w:rsidRPr="00B033BF">
            <w:rPr>
              <w:rStyle w:val="SayfaNumaras"/>
              <w:sz w:val="16"/>
              <w:szCs w:val="16"/>
            </w:rPr>
            <w:fldChar w:fldCharType="begin"/>
          </w:r>
          <w:r w:rsidRPr="00B033BF">
            <w:rPr>
              <w:rStyle w:val="SayfaNumaras"/>
              <w:sz w:val="16"/>
              <w:szCs w:val="16"/>
            </w:rPr>
            <w:instrText xml:space="preserve"> PAGE </w:instrText>
          </w:r>
          <w:r w:rsidRPr="00B033BF">
            <w:rPr>
              <w:rStyle w:val="SayfaNumaras"/>
              <w:sz w:val="16"/>
              <w:szCs w:val="16"/>
            </w:rPr>
            <w:fldChar w:fldCharType="separate"/>
          </w:r>
          <w:r w:rsidR="00506685">
            <w:rPr>
              <w:rStyle w:val="SayfaNumaras"/>
              <w:noProof/>
              <w:sz w:val="16"/>
              <w:szCs w:val="16"/>
            </w:rPr>
            <w:t>1</w:t>
          </w:r>
          <w:r w:rsidRPr="00B033BF">
            <w:rPr>
              <w:rStyle w:val="SayfaNumaras"/>
              <w:sz w:val="16"/>
              <w:szCs w:val="16"/>
            </w:rPr>
            <w:fldChar w:fldCharType="end"/>
          </w:r>
          <w:r w:rsidRPr="00B033BF">
            <w:rPr>
              <w:rStyle w:val="SayfaNumaras"/>
              <w:b/>
              <w:sz w:val="16"/>
              <w:szCs w:val="16"/>
              <w:lang w:val="tr-TR" w:eastAsia="tr-TR"/>
            </w:rPr>
            <w:t>/</w:t>
          </w:r>
          <w:r w:rsidRPr="00B033BF">
            <w:rPr>
              <w:rStyle w:val="SayfaNumaras"/>
              <w:sz w:val="16"/>
              <w:szCs w:val="16"/>
            </w:rPr>
            <w:fldChar w:fldCharType="begin"/>
          </w:r>
          <w:r w:rsidRPr="00B033BF">
            <w:rPr>
              <w:rStyle w:val="SayfaNumaras"/>
              <w:sz w:val="16"/>
              <w:szCs w:val="16"/>
            </w:rPr>
            <w:instrText xml:space="preserve"> NUMPAGES \*Arabic </w:instrText>
          </w:r>
          <w:r w:rsidRPr="00B033BF">
            <w:rPr>
              <w:rStyle w:val="SayfaNumaras"/>
              <w:sz w:val="16"/>
              <w:szCs w:val="16"/>
            </w:rPr>
            <w:fldChar w:fldCharType="separate"/>
          </w:r>
          <w:r w:rsidR="00506685">
            <w:rPr>
              <w:rStyle w:val="SayfaNumaras"/>
              <w:noProof/>
              <w:sz w:val="16"/>
              <w:szCs w:val="16"/>
            </w:rPr>
            <w:t>1</w:t>
          </w:r>
          <w:r w:rsidRPr="00B033BF">
            <w:rPr>
              <w:rStyle w:val="SayfaNumaras"/>
              <w:sz w:val="16"/>
              <w:szCs w:val="16"/>
            </w:rPr>
            <w:fldChar w:fldCharType="end"/>
          </w:r>
        </w:p>
      </w:tc>
    </w:tr>
  </w:tbl>
  <w:p w:rsidR="00490AF8" w:rsidRDefault="00490A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B5F"/>
    <w:multiLevelType w:val="hybridMultilevel"/>
    <w:tmpl w:val="B8B48A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7D5B45"/>
    <w:multiLevelType w:val="multilevel"/>
    <w:tmpl w:val="3E30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2E64E2"/>
    <w:rsid w:val="000941C6"/>
    <w:rsid w:val="002E64E2"/>
    <w:rsid w:val="00490AF8"/>
    <w:rsid w:val="00506685"/>
    <w:rsid w:val="006006F0"/>
    <w:rsid w:val="00641E89"/>
    <w:rsid w:val="00785BD6"/>
    <w:rsid w:val="009B1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64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90AF8"/>
    <w:pPr>
      <w:spacing w:after="0" w:line="240" w:lineRule="auto"/>
    </w:pPr>
  </w:style>
  <w:style w:type="paragraph" w:styleId="stbilgi">
    <w:name w:val="header"/>
    <w:basedOn w:val="Normal"/>
    <w:link w:val="stbilgiChar"/>
    <w:uiPriority w:val="99"/>
    <w:semiHidden/>
    <w:unhideWhenUsed/>
    <w:rsid w:val="00490A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0AF8"/>
  </w:style>
  <w:style w:type="paragraph" w:styleId="Altbilgi">
    <w:name w:val="footer"/>
    <w:basedOn w:val="Normal"/>
    <w:link w:val="AltbilgiChar"/>
    <w:uiPriority w:val="99"/>
    <w:semiHidden/>
    <w:unhideWhenUsed/>
    <w:rsid w:val="00490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0AF8"/>
  </w:style>
  <w:style w:type="character" w:styleId="SayfaNumaras">
    <w:name w:val="page number"/>
    <w:basedOn w:val="VarsaylanParagrafYazTipi"/>
    <w:rsid w:val="00490AF8"/>
  </w:style>
  <w:style w:type="paragraph" w:styleId="BalonMetni">
    <w:name w:val="Balloon Text"/>
    <w:basedOn w:val="Normal"/>
    <w:link w:val="BalonMetniChar"/>
    <w:uiPriority w:val="99"/>
    <w:semiHidden/>
    <w:unhideWhenUsed/>
    <w:rsid w:val="00490A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0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60023">
      <w:bodyDiv w:val="1"/>
      <w:marLeft w:val="0"/>
      <w:marRight w:val="0"/>
      <w:marTop w:val="0"/>
      <w:marBottom w:val="0"/>
      <w:divBdr>
        <w:top w:val="none" w:sz="0" w:space="0" w:color="auto"/>
        <w:left w:val="none" w:sz="0" w:space="0" w:color="auto"/>
        <w:bottom w:val="none" w:sz="0" w:space="0" w:color="auto"/>
        <w:right w:val="none" w:sz="0" w:space="0" w:color="auto"/>
      </w:divBdr>
    </w:div>
    <w:div w:id="12751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dc:creator>
  <cp:lastModifiedBy>KALTE</cp:lastModifiedBy>
  <cp:revision>2</cp:revision>
  <cp:lastPrinted>2020-06-23T07:54:00Z</cp:lastPrinted>
  <dcterms:created xsi:type="dcterms:W3CDTF">2020-07-14T18:59:00Z</dcterms:created>
  <dcterms:modified xsi:type="dcterms:W3CDTF">2020-07-14T18:59:00Z</dcterms:modified>
</cp:coreProperties>
</file>